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3F6F58" w:rsidP="0084255D">
      <w:pPr>
        <w:spacing w:after="0"/>
        <w:jc w:val="center"/>
        <w:rPr>
          <w:rFonts w:ascii="Times New Roman" w:hAnsi="Times New Roman" w:cs="Times New Roman"/>
          <w:b/>
          <w:color w:val="0D0D0D" w:themeColor="text1" w:themeTint="F2"/>
          <w:sz w:val="24"/>
          <w:szCs w:val="24"/>
          <w:lang w:val="kk-KZ"/>
        </w:rPr>
      </w:pPr>
      <w:r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w:t>
      </w:r>
      <w:r w:rsidR="0084255D" w:rsidRPr="0084255D">
        <w:rPr>
          <w:rFonts w:ascii="Times New Roman" w:hAnsi="Times New Roman" w:cs="Times New Roman"/>
          <w:b/>
          <w:color w:val="0D0D0D" w:themeColor="text1" w:themeTint="F2"/>
          <w:sz w:val="24"/>
          <w:szCs w:val="24"/>
          <w:lang w:val="kk-KZ"/>
        </w:rPr>
        <w:t xml:space="preserve">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3F6F58" w:rsidRPr="003F6F58">
        <w:rPr>
          <w:rFonts w:ascii="Times New Roman" w:hAnsi="Times New Roman" w:cs="Times New Roman"/>
          <w:b/>
          <w:color w:val="0D0D0D" w:themeColor="text1" w:themeTint="F2"/>
          <w:sz w:val="24"/>
          <w:szCs w:val="24"/>
          <w:lang w:val="kk-KZ"/>
        </w:rPr>
        <w:t>«Баянауыл ауданы білім беру бөлімінің Академик Қаныш Сәтбаев атындағы мектеп-балабақша  оқу-тәрбие кешені»</w:t>
      </w:r>
      <w:r w:rsidR="004C11E5" w:rsidRPr="004C11E5">
        <w:rPr>
          <w:rFonts w:ascii="Times New Roman" w:hAnsi="Times New Roman" w:cs="Times New Roman"/>
          <w:b/>
          <w:color w:val="0D0D0D" w:themeColor="text1" w:themeTint="F2"/>
          <w:sz w:val="24"/>
          <w:szCs w:val="24"/>
          <w:lang w:val="kk-KZ"/>
        </w:rPr>
        <w:t xml:space="preserve">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3F6F58" w:rsidRPr="003F6F58">
        <w:rPr>
          <w:rFonts w:ascii="Times New Roman" w:eastAsia="Times New Roman" w:hAnsi="Times New Roman" w:cs="Times New Roman"/>
          <w:color w:val="000000"/>
          <w:spacing w:val="2"/>
          <w:sz w:val="24"/>
          <w:szCs w:val="24"/>
          <w:lang w:val="kk-KZ" w:eastAsia="ru-RU"/>
        </w:rPr>
        <w:t>62</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3F6F58" w:rsidRPr="003F6F58">
        <w:rPr>
          <w:rFonts w:ascii="Times New Roman" w:eastAsia="Times New Roman" w:hAnsi="Times New Roman" w:cs="Times New Roman"/>
          <w:b/>
          <w:color w:val="000000"/>
          <w:spacing w:val="2"/>
          <w:sz w:val="24"/>
          <w:szCs w:val="24"/>
          <w:lang w:val="kk-KZ" w:eastAsia="ru-RU"/>
        </w:rPr>
        <w:t xml:space="preserve">1 184 820 (бір миллон жүз сексен төрт мың сегіз жүз жиырма) теңгені 00 тиын құрайды. </w:t>
      </w:r>
      <w:r w:rsidRPr="004C11E5">
        <w:rPr>
          <w:rFonts w:ascii="Times New Roman" w:eastAsia="Times New Roman" w:hAnsi="Times New Roman" w:cs="Times New Roman"/>
          <w:color w:val="000000"/>
          <w:spacing w:val="2"/>
          <w:sz w:val="24"/>
          <w:szCs w:val="24"/>
          <w:lang w:val="kk-KZ" w:eastAsia="ru-RU"/>
        </w:rPr>
        <w:t>білім алушыға ұсынылады.</w:t>
      </w:r>
      <w:r w:rsidRPr="004C11E5">
        <w:rPr>
          <w:rFonts w:ascii="Times New Roman" w:eastAsia="Times New Roman" w:hAnsi="Times New Roman" w:cs="Times New Roman"/>
          <w:color w:val="000000"/>
          <w:spacing w:val="2"/>
          <w:sz w:val="24"/>
          <w:szCs w:val="24"/>
          <w:lang w:val="kk-KZ" w:eastAsia="ru-RU"/>
        </w:rPr>
        <w:br/>
      </w:r>
      <w:r w:rsidR="003F6F58" w:rsidRPr="003F6F58">
        <w:rPr>
          <w:rFonts w:ascii="Times New Roman" w:eastAsia="Times New Roman" w:hAnsi="Times New Roman" w:cs="Times New Roman"/>
          <w:b/>
          <w:color w:val="000000"/>
          <w:spacing w:val="2"/>
          <w:sz w:val="24"/>
          <w:szCs w:val="24"/>
          <w:lang w:val="kk-KZ" w:eastAsia="ru-RU"/>
        </w:rPr>
        <w:t>«Баянауыл ауданы білім беру бөлімінің Академик Қаныш Сәтбаев атындағы мектеп-балабақша  оқу-тәрбие кешені» коммуналдық мемлекеттік мекемесі</w:t>
      </w:r>
      <w:r w:rsidR="003F6F58" w:rsidRPr="003F6F58">
        <w:rPr>
          <w:rFonts w:ascii="Times New Roman" w:eastAsia="Times New Roman" w:hAnsi="Times New Roman" w:cs="Times New Roman"/>
          <w:color w:val="000000"/>
          <w:spacing w:val="2"/>
          <w:sz w:val="24"/>
          <w:szCs w:val="24"/>
          <w:lang w:val="kk-KZ" w:eastAsia="ru-RU"/>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3F6F58"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коммуналдық мемлекеттік мекемесі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3F6F58"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коммуналдық мемлекеттік мекемесі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w:t>
      </w:r>
      <w:r w:rsidRPr="00BA2D36">
        <w:rPr>
          <w:rFonts w:ascii="Times New Roman" w:eastAsia="Times New Roman" w:hAnsi="Times New Roman" w:cs="Times New Roman"/>
          <w:color w:val="000000"/>
          <w:spacing w:val="2"/>
          <w:sz w:val="24"/>
          <w:szCs w:val="24"/>
          <w:lang w:val="kk-KZ" w:eastAsia="ru-RU"/>
        </w:rPr>
        <w:lastRenderedPageBreak/>
        <w:t>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3F6F58">
        <w:rPr>
          <w:rFonts w:ascii="Times New Roman" w:eastAsia="Times New Roman" w:hAnsi="Times New Roman" w:cs="Times New Roman"/>
          <w:color w:val="000000"/>
          <w:spacing w:val="2"/>
          <w:sz w:val="24"/>
          <w:szCs w:val="24"/>
          <w:lang w:val="kk-KZ" w:eastAsia="ru-RU"/>
        </w:rPr>
        <w:t>К</w:t>
      </w:r>
      <w:r w:rsidR="003F6F58" w:rsidRPr="003F6F58">
        <w:rPr>
          <w:rFonts w:ascii="Times New Roman" w:eastAsia="Times New Roman" w:hAnsi="Times New Roman" w:cs="Times New Roman"/>
          <w:color w:val="000000"/>
          <w:spacing w:val="2"/>
          <w:sz w:val="24"/>
          <w:szCs w:val="24"/>
          <w:lang w:val="kk-KZ" w:eastAsia="ru-RU"/>
        </w:rPr>
        <w:t>.</w:t>
      </w:r>
      <w:r w:rsidR="003F6F58">
        <w:rPr>
          <w:rFonts w:ascii="Times New Roman" w:eastAsia="Times New Roman" w:hAnsi="Times New Roman" w:cs="Times New Roman"/>
          <w:color w:val="000000"/>
          <w:spacing w:val="2"/>
          <w:sz w:val="24"/>
          <w:szCs w:val="24"/>
          <w:lang w:val="kk-KZ" w:eastAsia="ru-RU"/>
        </w:rPr>
        <w:t>Н. Музафаров</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3F6F58" w:rsidRPr="003F6F58">
        <w:rPr>
          <w:rFonts w:ascii="Times New Roman" w:eastAsia="Times New Roman" w:hAnsi="Times New Roman" w:cs="Times New Roman"/>
          <w:color w:val="000000"/>
          <w:spacing w:val="2"/>
          <w:sz w:val="24"/>
          <w:szCs w:val="24"/>
          <w:lang w:val="kk-KZ" w:eastAsia="ru-RU"/>
        </w:rPr>
        <w:t xml:space="preserve">К.Н. Музафаров </w:t>
      </w:r>
      <w:r w:rsidRPr="00BA2D36">
        <w:rPr>
          <w:rFonts w:ascii="Times New Roman" w:eastAsia="Times New Roman" w:hAnsi="Times New Roman" w:cs="Times New Roman"/>
          <w:color w:val="000000"/>
          <w:spacing w:val="2"/>
          <w:sz w:val="24"/>
          <w:szCs w:val="24"/>
          <w:lang w:val="kk-KZ" w:eastAsia="ru-RU"/>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xml:space="preserve"> сәйкес қалыптастырылатын мемлекеттік сатып алуға </w:t>
      </w:r>
      <w:r w:rsidRPr="00BA2D36">
        <w:rPr>
          <w:rFonts w:ascii="Times New Roman" w:eastAsia="Times New Roman" w:hAnsi="Times New Roman" w:cs="Times New Roman"/>
          <w:color w:val="000000"/>
          <w:spacing w:val="2"/>
          <w:sz w:val="24"/>
          <w:szCs w:val="24"/>
          <w:lang w:val="kk-KZ" w:eastAsia="ru-RU"/>
        </w:rPr>
        <w:lastRenderedPageBreak/>
        <w:t>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Мектеп директоры</w:t>
      </w:r>
      <w:r w:rsidR="003F6F58">
        <w:rPr>
          <w:rFonts w:ascii="Times New Roman" w:hAnsi="Times New Roman" w:cs="Times New Roman"/>
          <w:b/>
          <w:color w:val="0D0D0D" w:themeColor="text1" w:themeTint="F2"/>
          <w:sz w:val="24"/>
          <w:szCs w:val="24"/>
          <w:lang w:val="kk-KZ"/>
        </w:rPr>
        <w:t>:</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3F6F58">
        <w:rPr>
          <w:rFonts w:ascii="Times New Roman" w:hAnsi="Times New Roman" w:cs="Times New Roman"/>
          <w:b/>
          <w:color w:val="0D0D0D" w:themeColor="text1" w:themeTint="F2"/>
          <w:sz w:val="24"/>
          <w:szCs w:val="24"/>
          <w:lang w:val="kk-KZ"/>
        </w:rPr>
        <w:t>К.Н.Музафаров</w:t>
      </w:r>
      <w:bookmarkStart w:id="7" w:name="_GoBack"/>
      <w:bookmarkEnd w:id="7"/>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3F6F58"/>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3777</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2017-02-07T06:30:00Z</dcterms:created>
  <dcterms:modified xsi:type="dcterms:W3CDTF">2018-08-10T05:51:00Z</dcterms:modified>
</cp:coreProperties>
</file>